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72" w:rsidRDefault="00CF2072" w:rsidP="00CF2072">
      <w:pPr>
        <w:rPr>
          <w:rFonts w:ascii="Tahoma" w:hAnsi="Tahoma" w:cs="Tahoma"/>
          <w:color w:val="auto"/>
          <w:sz w:val="20"/>
          <w:szCs w:val="20"/>
        </w:rPr>
      </w:pPr>
      <w:r>
        <w:rPr>
          <w:rFonts w:ascii="Tahoma" w:hAnsi="Tahoma" w:cs="Tahoma"/>
          <w:b/>
          <w:bCs/>
          <w:color w:val="auto"/>
          <w:sz w:val="20"/>
          <w:szCs w:val="20"/>
        </w:rPr>
        <w:t>De :</w:t>
      </w:r>
      <w:r>
        <w:rPr>
          <w:rFonts w:ascii="Tahoma" w:hAnsi="Tahoma" w:cs="Tahoma"/>
          <w:color w:val="auto"/>
          <w:sz w:val="20"/>
          <w:szCs w:val="20"/>
        </w:rPr>
        <w:t xml:space="preserve"> Info Communication </w:t>
      </w:r>
      <w:proofErr w:type="spellStart"/>
      <w:r>
        <w:rPr>
          <w:rFonts w:ascii="Tahoma" w:hAnsi="Tahoma" w:cs="Tahoma"/>
          <w:color w:val="auto"/>
          <w:sz w:val="20"/>
          <w:szCs w:val="20"/>
        </w:rPr>
        <w:t>etablissement</w:t>
      </w:r>
      <w:proofErr w:type="spellEnd"/>
      <w:r>
        <w:rPr>
          <w:rFonts w:ascii="Tahoma" w:hAnsi="Tahoma" w:cs="Tahoma"/>
          <w:color w:val="auto"/>
          <w:sz w:val="20"/>
          <w:szCs w:val="20"/>
        </w:rPr>
        <w:t xml:space="preserve"> de Lyon </w:t>
      </w:r>
      <w:r>
        <w:rPr>
          <w:rFonts w:ascii="Tahoma" w:hAnsi="Tahoma" w:cs="Tahoma"/>
          <w:color w:val="auto"/>
          <w:sz w:val="20"/>
          <w:szCs w:val="20"/>
        </w:rPr>
        <w:br/>
      </w:r>
      <w:r>
        <w:rPr>
          <w:rFonts w:ascii="Tahoma" w:hAnsi="Tahoma" w:cs="Tahoma"/>
          <w:b/>
          <w:bCs/>
          <w:color w:val="auto"/>
          <w:sz w:val="20"/>
          <w:szCs w:val="20"/>
        </w:rPr>
        <w:t>Envoyé :</w:t>
      </w:r>
      <w:r>
        <w:rPr>
          <w:rFonts w:ascii="Tahoma" w:hAnsi="Tahoma" w:cs="Tahoma"/>
          <w:color w:val="auto"/>
          <w:sz w:val="20"/>
          <w:szCs w:val="20"/>
        </w:rPr>
        <w:t xml:space="preserve"> mercredi 18 décembre 2013 14:20</w:t>
      </w:r>
      <w:r>
        <w:rPr>
          <w:rFonts w:ascii="Tahoma" w:hAnsi="Tahoma" w:cs="Tahoma"/>
          <w:color w:val="auto"/>
          <w:sz w:val="20"/>
          <w:szCs w:val="20"/>
        </w:rPr>
        <w:br/>
      </w:r>
      <w:r>
        <w:rPr>
          <w:rFonts w:ascii="Tahoma" w:hAnsi="Tahoma" w:cs="Tahoma"/>
          <w:b/>
          <w:bCs/>
          <w:color w:val="auto"/>
          <w:sz w:val="20"/>
          <w:szCs w:val="20"/>
        </w:rPr>
        <w:t>Objet :</w:t>
      </w:r>
      <w:r>
        <w:rPr>
          <w:rFonts w:ascii="Tahoma" w:hAnsi="Tahoma" w:cs="Tahoma"/>
          <w:color w:val="auto"/>
          <w:sz w:val="20"/>
          <w:szCs w:val="20"/>
        </w:rPr>
        <w:t xml:space="preserve"> </w:t>
      </w:r>
      <w:proofErr w:type="spellStart"/>
      <w:r>
        <w:rPr>
          <w:rFonts w:ascii="Tahoma" w:hAnsi="Tahoma" w:cs="Tahoma"/>
          <w:color w:val="auto"/>
          <w:sz w:val="20"/>
          <w:szCs w:val="20"/>
        </w:rPr>
        <w:t>Taits</w:t>
      </w:r>
      <w:proofErr w:type="spellEnd"/>
      <w:r>
        <w:rPr>
          <w:rFonts w:ascii="Tahoma" w:hAnsi="Tahoma" w:cs="Tahoma"/>
          <w:color w:val="auto"/>
          <w:sz w:val="20"/>
          <w:szCs w:val="20"/>
        </w:rPr>
        <w:t xml:space="preserve"> d'Union N° 197</w:t>
      </w:r>
    </w:p>
    <w:p w:rsidR="00CF2072" w:rsidRDefault="00CF2072" w:rsidP="00CF2072"/>
    <w:p w:rsidR="00CF2072" w:rsidRDefault="00CF2072" w:rsidP="00CF2072">
      <w:pPr>
        <w:rPr>
          <w:rFonts w:ascii="Calibri" w:hAnsi="Calibri" w:cs="Calibri"/>
          <w:color w:val="1F497D"/>
          <w:sz w:val="22"/>
          <w:szCs w:val="22"/>
        </w:rPr>
      </w:pPr>
    </w:p>
    <w:p w:rsidR="00CF2072" w:rsidRDefault="00CF2072" w:rsidP="00CF2072">
      <w:pPr>
        <w:rPr>
          <w:rFonts w:ascii="Calibri" w:hAnsi="Calibri" w:cs="Calibri"/>
          <w:color w:val="1F497D"/>
          <w:sz w:val="22"/>
          <w:szCs w:val="22"/>
        </w:rPr>
      </w:pPr>
    </w:p>
    <w:p w:rsidR="00CF2072" w:rsidRDefault="00CF2072" w:rsidP="00CF2072"/>
    <w:tbl>
      <w:tblPr>
        <w:tblW w:w="11250" w:type="dxa"/>
        <w:jc w:val="center"/>
        <w:tblCellSpacing w:w="0" w:type="dxa"/>
        <w:shd w:val="clear" w:color="auto" w:fill="FFFFFF"/>
        <w:tblCellMar>
          <w:left w:w="0" w:type="dxa"/>
          <w:right w:w="0" w:type="dxa"/>
        </w:tblCellMar>
        <w:tblLook w:val="04A0" w:firstRow="1" w:lastRow="0" w:firstColumn="1" w:lastColumn="0" w:noHBand="0" w:noVBand="1"/>
      </w:tblPr>
      <w:tblGrid>
        <w:gridCol w:w="11257"/>
      </w:tblGrid>
      <w:tr w:rsidR="00CF2072" w:rsidTr="00CF2072">
        <w:trPr>
          <w:tblCellSpacing w:w="0" w:type="dxa"/>
          <w:jc w:val="center"/>
        </w:trPr>
        <w:tc>
          <w:tcPr>
            <w:tcW w:w="0" w:type="auto"/>
            <w:shd w:val="clear" w:color="auto" w:fill="FFFFFF"/>
            <w:hideMark/>
          </w:tcPr>
          <w:p w:rsidR="00CF2072" w:rsidRDefault="00CF2072">
            <w:pPr>
              <w:pStyle w:val="NormalWeb"/>
              <w:jc w:val="center"/>
            </w:pPr>
            <w:r>
              <w:rPr>
                <w:noProof/>
              </w:rPr>
              <w:drawing>
                <wp:inline distT="0" distB="0" distL="0" distR="0">
                  <wp:extent cx="7148195" cy="1616710"/>
                  <wp:effectExtent l="0" t="0" r="0" b="2540"/>
                  <wp:docPr id="5" name="Image 5" descr="cid:part1.07090804.04030300@agencerealvis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7090804.04030300@agencerealvision.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48195" cy="1616710"/>
                          </a:xfrm>
                          <a:prstGeom prst="rect">
                            <a:avLst/>
                          </a:prstGeom>
                          <a:noFill/>
                          <a:ln>
                            <a:noFill/>
                          </a:ln>
                        </pic:spPr>
                      </pic:pic>
                    </a:graphicData>
                  </a:graphic>
                </wp:inline>
              </w:drawing>
            </w:r>
          </w:p>
          <w:p w:rsidR="00CF2072" w:rsidRDefault="00CF2072">
            <w:pPr>
              <w:pStyle w:val="NormalWeb"/>
              <w:jc w:val="center"/>
            </w:pPr>
            <w:r>
              <w:t> </w:t>
            </w:r>
          </w:p>
        </w:tc>
      </w:tr>
    </w:tbl>
    <w:p w:rsidR="00CF2072" w:rsidRDefault="00CF2072" w:rsidP="00CF2072">
      <w:pPr>
        <w:shd w:val="clear" w:color="auto" w:fill="FFFFFF"/>
        <w:jc w:val="center"/>
        <w:rPr>
          <w:vanish/>
        </w:rPr>
      </w:pPr>
    </w:p>
    <w:tbl>
      <w:tblPr>
        <w:tblW w:w="1125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10650"/>
        <w:gridCol w:w="300"/>
      </w:tblGrid>
      <w:tr w:rsidR="00CF2072" w:rsidTr="00CF2072">
        <w:trPr>
          <w:tblCellSpacing w:w="0" w:type="dxa"/>
          <w:jc w:val="center"/>
        </w:trPr>
        <w:tc>
          <w:tcPr>
            <w:tcW w:w="300" w:type="dxa"/>
            <w:shd w:val="clear" w:color="auto" w:fill="FFFFFF"/>
            <w:vAlign w:val="center"/>
            <w:hideMark/>
          </w:tcPr>
          <w:p w:rsidR="00CF2072" w:rsidRDefault="00CF2072">
            <w:pPr>
              <w:spacing w:line="270" w:lineRule="atLeast"/>
              <w:rPr>
                <w:rFonts w:ascii="Verdana" w:hAnsi="Verdana"/>
                <w:color w:val="333333"/>
                <w:sz w:val="20"/>
                <w:szCs w:val="20"/>
              </w:rPr>
            </w:pPr>
            <w:r>
              <w:rPr>
                <w:rFonts w:ascii="Verdana" w:hAnsi="Verdana"/>
                <w:noProof/>
                <w:color w:val="333333"/>
                <w:sz w:val="20"/>
                <w:szCs w:val="20"/>
              </w:rPr>
              <w:drawing>
                <wp:inline distT="0" distB="0" distL="0" distR="0">
                  <wp:extent cx="189865" cy="100330"/>
                  <wp:effectExtent l="0" t="0" r="0" b="0"/>
                  <wp:docPr id="4" name="Image 4" descr="cid:image001.png@01CEFBF6.09F9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FBF6.09F990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9865" cy="100330"/>
                          </a:xfrm>
                          <a:prstGeom prst="rect">
                            <a:avLst/>
                          </a:prstGeom>
                          <a:noFill/>
                          <a:ln>
                            <a:noFill/>
                          </a:ln>
                        </pic:spPr>
                      </pic:pic>
                    </a:graphicData>
                  </a:graphic>
                </wp:inline>
              </w:drawing>
            </w:r>
          </w:p>
        </w:tc>
        <w:tc>
          <w:tcPr>
            <w:tcW w:w="10650" w:type="dxa"/>
            <w:shd w:val="clear" w:color="auto" w:fill="FFFFFF"/>
            <w:vAlign w:val="center"/>
            <w:hideMark/>
          </w:tcPr>
          <w:tbl>
            <w:tblPr>
              <w:tblW w:w="10650" w:type="dxa"/>
              <w:tblCellSpacing w:w="0" w:type="dxa"/>
              <w:tblCellMar>
                <w:left w:w="0" w:type="dxa"/>
                <w:right w:w="0" w:type="dxa"/>
              </w:tblCellMar>
              <w:tblLook w:val="04A0" w:firstRow="1" w:lastRow="0" w:firstColumn="1" w:lastColumn="0" w:noHBand="0" w:noVBand="1"/>
            </w:tblPr>
            <w:tblGrid>
              <w:gridCol w:w="10650"/>
            </w:tblGrid>
            <w:tr w:rsidR="00CF2072">
              <w:trPr>
                <w:tblCellSpacing w:w="0" w:type="dxa"/>
              </w:trPr>
              <w:tc>
                <w:tcPr>
                  <w:tcW w:w="0" w:type="auto"/>
                  <w:vAlign w:val="center"/>
                  <w:hideMark/>
                </w:tcPr>
                <w:p w:rsidR="00CF2072" w:rsidRDefault="00CF2072">
                  <w:pPr>
                    <w:pStyle w:val="Titre1"/>
                    <w:rPr>
                      <w:rFonts w:eastAsia="Times New Roman"/>
                      <w:color w:val="003882"/>
                    </w:rPr>
                  </w:pPr>
                  <w:r>
                    <w:rPr>
                      <w:rFonts w:eastAsia="Times New Roman"/>
                      <w:color w:val="003882"/>
                    </w:rPr>
                    <w:t xml:space="preserve">GTO </w:t>
                  </w:r>
                  <w:proofErr w:type="spellStart"/>
                  <w:r>
                    <w:rPr>
                      <w:rFonts w:eastAsia="Times New Roman"/>
                      <w:color w:val="003882"/>
                    </w:rPr>
                    <w:t>Awards</w:t>
                  </w:r>
                  <w:proofErr w:type="spellEnd"/>
                  <w:r>
                    <w:rPr>
                      <w:rFonts w:eastAsia="Times New Roman"/>
                      <w:color w:val="003882"/>
                    </w:rPr>
                    <w:t xml:space="preserve"> : une double récompense</w:t>
                  </w:r>
                  <w:r>
                    <w:rPr>
                      <w:rFonts w:eastAsia="Times New Roman"/>
                      <w:color w:val="003882"/>
                    </w:rPr>
                    <w:br/>
                    <w:t>pour l’Usine Moteurs de Vénissieux</w:t>
                  </w:r>
                </w:p>
              </w:tc>
            </w:tr>
            <w:tr w:rsidR="00CF2072">
              <w:trPr>
                <w:tblCellSpacing w:w="0" w:type="dxa"/>
              </w:trPr>
              <w:tc>
                <w:tcPr>
                  <w:tcW w:w="0" w:type="auto"/>
                  <w:hideMark/>
                </w:tcPr>
                <w:p w:rsidR="00CF2072" w:rsidRDefault="00CF2072">
                  <w:pPr>
                    <w:pStyle w:val="NormalWeb"/>
                  </w:pPr>
                  <w:r>
                    <w:rPr>
                      <w:rStyle w:val="chapo1"/>
                      <w:sz w:val="23"/>
                      <w:szCs w:val="23"/>
                    </w:rPr>
                    <w:t xml:space="preserve">Le 10 décembre dernier, à Göteborg, l’Usine Moteurs de Vénissieux a remporté deux </w:t>
                  </w:r>
                  <w:proofErr w:type="spellStart"/>
                  <w:r>
                    <w:rPr>
                      <w:rStyle w:val="chapo1"/>
                      <w:sz w:val="23"/>
                      <w:szCs w:val="23"/>
                    </w:rPr>
                    <w:t>Awards</w:t>
                  </w:r>
                  <w:proofErr w:type="spellEnd"/>
                  <w:r>
                    <w:rPr>
                      <w:rStyle w:val="chapo1"/>
                      <w:sz w:val="23"/>
                      <w:szCs w:val="23"/>
                    </w:rPr>
                    <w:t xml:space="preserve"> GTO : l’</w:t>
                  </w:r>
                  <w:proofErr w:type="spellStart"/>
                  <w:r>
                    <w:rPr>
                      <w:rStyle w:val="chapo1"/>
                      <w:sz w:val="23"/>
                      <w:szCs w:val="23"/>
                    </w:rPr>
                    <w:t>Award</w:t>
                  </w:r>
                  <w:proofErr w:type="spellEnd"/>
                  <w:r>
                    <w:rPr>
                      <w:rStyle w:val="chapo1"/>
                      <w:sz w:val="23"/>
                      <w:szCs w:val="23"/>
                    </w:rPr>
                    <w:t xml:space="preserve"> « Qualité » et l’</w:t>
                  </w:r>
                  <w:proofErr w:type="spellStart"/>
                  <w:r>
                    <w:rPr>
                      <w:rStyle w:val="chapo1"/>
                      <w:sz w:val="23"/>
                      <w:szCs w:val="23"/>
                    </w:rPr>
                    <w:t>Award</w:t>
                  </w:r>
                  <w:proofErr w:type="spellEnd"/>
                  <w:r>
                    <w:rPr>
                      <w:rStyle w:val="chapo1"/>
                      <w:sz w:val="23"/>
                      <w:szCs w:val="23"/>
                    </w:rPr>
                    <w:t xml:space="preserve"> « Diversité et Inclusion ».</w:t>
                  </w:r>
                  <w:r>
                    <w:br/>
                  </w:r>
                  <w:bookmarkStart w:id="0" w:name="_GoBack"/>
                  <w:r>
                    <w:t>Chaque année, l’entité GTO organise une cérémonie récompensant les meilleurs projets dans chacune des 6 catégories suivantes : sécurité, environnement, productivité, diversité, qualité et distribution. Un jury, une fois nommé, choisit dans chaque catégorie le projet le plus en adéquation avec certains critères : chaque équipe doit démontrer un progrès significatif et durable, mettre en œuvre son projet d’amélioration avec d’autres unités, partager ses connaissances avec l’extérieur. Enfin, le projet doit être « transposable » à d’autres entités du Groupe Volvo.</w:t>
                  </w:r>
                </w:p>
                <w:bookmarkEnd w:id="0"/>
                <w:p w:rsidR="00CF2072" w:rsidRDefault="00CF2072">
                  <w:pPr>
                    <w:pStyle w:val="NormalWeb"/>
                  </w:pPr>
                  <w:r>
                    <w:t> </w:t>
                  </w:r>
                </w:p>
                <w:p w:rsidR="00CF2072" w:rsidRDefault="00CF2072">
                  <w:pPr>
                    <w:pStyle w:val="NormalWeb"/>
                  </w:pPr>
                  <w:r>
                    <w:rPr>
                      <w:rStyle w:val="lev"/>
                    </w:rPr>
                    <w:t>L’</w:t>
                  </w:r>
                  <w:proofErr w:type="spellStart"/>
                  <w:r>
                    <w:rPr>
                      <w:rStyle w:val="lev"/>
                    </w:rPr>
                    <w:t>Award</w:t>
                  </w:r>
                  <w:proofErr w:type="spellEnd"/>
                  <w:r>
                    <w:rPr>
                      <w:rStyle w:val="lev"/>
                    </w:rPr>
                    <w:t xml:space="preserve"> « Qualité » a été obtenu pour le projet : « Intégration de </w:t>
                  </w:r>
                  <w:proofErr w:type="spellStart"/>
                  <w:r>
                    <w:rPr>
                      <w:rStyle w:val="lev"/>
                    </w:rPr>
                    <w:t>Poka</w:t>
                  </w:r>
                  <w:proofErr w:type="spellEnd"/>
                  <w:r>
                    <w:rPr>
                      <w:rStyle w:val="lev"/>
                    </w:rPr>
                    <w:t xml:space="preserve"> </w:t>
                  </w:r>
                  <w:proofErr w:type="spellStart"/>
                  <w:r>
                    <w:rPr>
                      <w:rStyle w:val="lev"/>
                    </w:rPr>
                    <w:t>Yoke</w:t>
                  </w:r>
                  <w:proofErr w:type="spellEnd"/>
                  <w:r>
                    <w:rPr>
                      <w:rStyle w:val="lev"/>
                    </w:rPr>
                    <w:t> »</w:t>
                  </w:r>
                  <w:r>
                    <w:t xml:space="preserve"> (mot japonais signifiant anti-erreur) dans la conception du moteur MDE Euro 6. Le projet a réuni à la fois des personnes de l’usine (méthodes, qualité) et des représentants du Bureau d’Études de GTT. En s’impliquant très tôt dans la conception du produit, l’équipe Projet a obtenu une grande quantité d’anti-erreurs directement intégrées dans le produit.</w:t>
                  </w:r>
                </w:p>
              </w:tc>
            </w:tr>
            <w:tr w:rsidR="00CF2072">
              <w:trPr>
                <w:tblCellSpacing w:w="0" w:type="dxa"/>
              </w:trPr>
              <w:tc>
                <w:tcPr>
                  <w:tcW w:w="0" w:type="auto"/>
                  <w:vAlign w:val="center"/>
                  <w:hideMark/>
                </w:tcPr>
                <w:p w:rsidR="00CF2072" w:rsidRDefault="00CF2072">
                  <w:pPr>
                    <w:pStyle w:val="NormalWeb"/>
                    <w:jc w:val="center"/>
                  </w:pPr>
                  <w:r>
                    <w:t> </w:t>
                  </w:r>
                </w:p>
                <w:p w:rsidR="00CF2072" w:rsidRDefault="00CF2072">
                  <w:pPr>
                    <w:pStyle w:val="NormalWeb"/>
                    <w:jc w:val="center"/>
                  </w:pPr>
                  <w:r>
                    <w:rPr>
                      <w:noProof/>
                    </w:rPr>
                    <w:drawing>
                      <wp:inline distT="0" distB="0" distL="0" distR="0">
                        <wp:extent cx="6757670" cy="2185670"/>
                        <wp:effectExtent l="0" t="0" r="5080" b="5080"/>
                        <wp:docPr id="3" name="Image 3" descr="cid:part3.00090701.05080500@agencerealvis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3.00090701.05080500@agencerealvision.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757670" cy="2185670"/>
                                </a:xfrm>
                                <a:prstGeom prst="rect">
                                  <a:avLst/>
                                </a:prstGeom>
                                <a:noFill/>
                                <a:ln>
                                  <a:noFill/>
                                </a:ln>
                              </pic:spPr>
                            </pic:pic>
                          </a:graphicData>
                        </a:graphic>
                      </wp:inline>
                    </w:drawing>
                  </w:r>
                </w:p>
                <w:p w:rsidR="00CF2072" w:rsidRDefault="00CF2072">
                  <w:pPr>
                    <w:pStyle w:val="little"/>
                    <w:jc w:val="center"/>
                  </w:pPr>
                  <w:r>
                    <w:rPr>
                      <w:rStyle w:val="lev"/>
                    </w:rPr>
                    <w:t xml:space="preserve">GTO </w:t>
                  </w:r>
                  <w:proofErr w:type="spellStart"/>
                  <w:r>
                    <w:rPr>
                      <w:rStyle w:val="lev"/>
                    </w:rPr>
                    <w:t>Quality</w:t>
                  </w:r>
                  <w:proofErr w:type="spellEnd"/>
                  <w:r>
                    <w:rPr>
                      <w:rStyle w:val="lev"/>
                    </w:rPr>
                    <w:t xml:space="preserve"> </w:t>
                  </w:r>
                  <w:proofErr w:type="spellStart"/>
                  <w:r>
                    <w:rPr>
                      <w:rStyle w:val="lev"/>
                    </w:rPr>
                    <w:t>Award</w:t>
                  </w:r>
                  <w:proofErr w:type="spellEnd"/>
                  <w:r>
                    <w:rPr>
                      <w:rStyle w:val="lev"/>
                    </w:rPr>
                    <w:t xml:space="preserve">, </w:t>
                  </w:r>
                  <w:r>
                    <w:t xml:space="preserve">de gauche à droite : Mikael </w:t>
                  </w:r>
                  <w:proofErr w:type="spellStart"/>
                  <w:r>
                    <w:t>Schill</w:t>
                  </w:r>
                  <w:proofErr w:type="spellEnd"/>
                  <w:r>
                    <w:t>, Guilaine Giron, Geoffrey Blanc,</w:t>
                  </w:r>
                  <w:r>
                    <w:br/>
                    <w:t xml:space="preserve">Yvan </w:t>
                  </w:r>
                  <w:proofErr w:type="spellStart"/>
                  <w:r>
                    <w:t>Mariat</w:t>
                  </w:r>
                  <w:proofErr w:type="spellEnd"/>
                  <w:r>
                    <w:t xml:space="preserve">, Jérôme Massé, Daniel Rey, Vincent </w:t>
                  </w:r>
                  <w:proofErr w:type="spellStart"/>
                  <w:r>
                    <w:t>Brolles</w:t>
                  </w:r>
                  <w:proofErr w:type="spellEnd"/>
                  <w:r>
                    <w:t xml:space="preserve">, Mikael </w:t>
                  </w:r>
                  <w:proofErr w:type="spellStart"/>
                  <w:r>
                    <w:t>Bratt</w:t>
                  </w:r>
                  <w:proofErr w:type="spellEnd"/>
                </w:p>
                <w:p w:rsidR="00CF2072" w:rsidRDefault="00CF2072">
                  <w:pPr>
                    <w:pStyle w:val="NormalWeb"/>
                    <w:jc w:val="center"/>
                  </w:pPr>
                  <w:r>
                    <w:lastRenderedPageBreak/>
                    <w:t> </w:t>
                  </w:r>
                </w:p>
              </w:tc>
            </w:tr>
            <w:tr w:rsidR="00CF2072">
              <w:trPr>
                <w:tblCellSpacing w:w="0" w:type="dxa"/>
              </w:trPr>
              <w:tc>
                <w:tcPr>
                  <w:tcW w:w="0" w:type="auto"/>
                  <w:vAlign w:val="center"/>
                  <w:hideMark/>
                </w:tcPr>
                <w:p w:rsidR="00CF2072" w:rsidRDefault="00CF2072">
                  <w:pPr>
                    <w:pStyle w:val="NormalWeb"/>
                  </w:pPr>
                  <w:r>
                    <w:lastRenderedPageBreak/>
                    <w:t> </w:t>
                  </w:r>
                </w:p>
                <w:p w:rsidR="00CF2072" w:rsidRDefault="00CF2072">
                  <w:pPr>
                    <w:pStyle w:val="NormalWeb"/>
                  </w:pPr>
                  <w:r>
                    <w:rPr>
                      <w:rStyle w:val="lev"/>
                    </w:rPr>
                    <w:t>L’</w:t>
                  </w:r>
                  <w:proofErr w:type="spellStart"/>
                  <w:r>
                    <w:rPr>
                      <w:rStyle w:val="lev"/>
                    </w:rPr>
                    <w:t>Award</w:t>
                  </w:r>
                  <w:proofErr w:type="spellEnd"/>
                  <w:r>
                    <w:rPr>
                      <w:rStyle w:val="lev"/>
                    </w:rPr>
                    <w:t xml:space="preserve"> « Diversité et Inclusion, » a été obtenu pour le projet : « Développer et améliorer le partenariat avec GREP Intérim ».</w:t>
                  </w:r>
                  <w:r>
                    <w:t xml:space="preserve"> Le GREP est une agence d’intérim spécialisée dans la réinsertion de personnes sous le coup d’une peine judiciaire. Ce reclassement professionnel permet de prévenir la récidive, offre à ces personnes la possibilité de devenir économiquement autonomes et de recouvrer leur dignité d'êtres humains. L’implication de tous (collaborateurs, managers, techniciens, partenaires …) est la clé du succès de ce programme.</w:t>
                  </w:r>
                </w:p>
              </w:tc>
            </w:tr>
            <w:tr w:rsidR="00CF2072">
              <w:trPr>
                <w:tblCellSpacing w:w="0" w:type="dxa"/>
              </w:trPr>
              <w:tc>
                <w:tcPr>
                  <w:tcW w:w="0" w:type="auto"/>
                  <w:vAlign w:val="center"/>
                  <w:hideMark/>
                </w:tcPr>
                <w:p w:rsidR="00CF2072" w:rsidRDefault="00CF2072">
                  <w:pPr>
                    <w:pStyle w:val="NormalWeb"/>
                    <w:jc w:val="center"/>
                  </w:pPr>
                  <w:r>
                    <w:t> </w:t>
                  </w:r>
                </w:p>
                <w:p w:rsidR="00CF2072" w:rsidRDefault="00CF2072">
                  <w:pPr>
                    <w:pStyle w:val="NormalWeb"/>
                    <w:jc w:val="center"/>
                  </w:pPr>
                  <w:r>
                    <w:rPr>
                      <w:noProof/>
                    </w:rPr>
                    <w:drawing>
                      <wp:inline distT="0" distB="0" distL="0" distR="0">
                        <wp:extent cx="6757670" cy="1962785"/>
                        <wp:effectExtent l="0" t="0" r="5080" b="0"/>
                        <wp:docPr id="2" name="Image 2" descr="cid:part4.00070208.04060907@agencerealvis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part4.00070208.04060907@agencerealvision.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757670" cy="1962785"/>
                                </a:xfrm>
                                <a:prstGeom prst="rect">
                                  <a:avLst/>
                                </a:prstGeom>
                                <a:noFill/>
                                <a:ln>
                                  <a:noFill/>
                                </a:ln>
                              </pic:spPr>
                            </pic:pic>
                          </a:graphicData>
                        </a:graphic>
                      </wp:inline>
                    </w:drawing>
                  </w:r>
                </w:p>
                <w:p w:rsidR="00CF2072" w:rsidRDefault="00CF2072">
                  <w:pPr>
                    <w:pStyle w:val="little"/>
                    <w:jc w:val="center"/>
                  </w:pPr>
                  <w:r>
                    <w:rPr>
                      <w:rStyle w:val="lev"/>
                    </w:rPr>
                    <w:t xml:space="preserve">Photo GTO </w:t>
                  </w:r>
                  <w:proofErr w:type="spellStart"/>
                  <w:r>
                    <w:rPr>
                      <w:rStyle w:val="lev"/>
                    </w:rPr>
                    <w:t>Award</w:t>
                  </w:r>
                  <w:proofErr w:type="spellEnd"/>
                  <w:r>
                    <w:rPr>
                      <w:rStyle w:val="lev"/>
                    </w:rPr>
                    <w:t xml:space="preserve"> </w:t>
                  </w:r>
                  <w:proofErr w:type="spellStart"/>
                  <w:r>
                    <w:rPr>
                      <w:rStyle w:val="lev"/>
                    </w:rPr>
                    <w:t>Diversity</w:t>
                  </w:r>
                  <w:proofErr w:type="spellEnd"/>
                  <w:r>
                    <w:rPr>
                      <w:rStyle w:val="lev"/>
                    </w:rPr>
                    <w:t>,</w:t>
                  </w:r>
                  <w:r>
                    <w:t xml:space="preserve"> de gauche à droite : </w:t>
                  </w:r>
                  <w:proofErr w:type="spellStart"/>
                  <w:r>
                    <w:t>Kyouji</w:t>
                  </w:r>
                  <w:proofErr w:type="spellEnd"/>
                  <w:r>
                    <w:t xml:space="preserve"> </w:t>
                  </w:r>
                  <w:proofErr w:type="spellStart"/>
                  <w:r>
                    <w:t>Funatsumaru</w:t>
                  </w:r>
                  <w:proofErr w:type="spellEnd"/>
                  <w:r>
                    <w:t>, Sabrina Digonnet Coulon,</w:t>
                  </w:r>
                  <w:r>
                    <w:br/>
                    <w:t xml:space="preserve">Muriel Galinetti, Olivier Bonfils, David Provost, Jean-Robert Maury, Mikael </w:t>
                  </w:r>
                  <w:proofErr w:type="spellStart"/>
                  <w:r>
                    <w:t>Bratt</w:t>
                  </w:r>
                  <w:proofErr w:type="spellEnd"/>
                  <w:r>
                    <w:t> </w:t>
                  </w:r>
                </w:p>
              </w:tc>
            </w:tr>
            <w:tr w:rsidR="00CF2072">
              <w:trPr>
                <w:tblCellSpacing w:w="0" w:type="dxa"/>
              </w:trPr>
              <w:tc>
                <w:tcPr>
                  <w:tcW w:w="0" w:type="auto"/>
                  <w:vAlign w:val="center"/>
                  <w:hideMark/>
                </w:tcPr>
                <w:p w:rsidR="00CF2072" w:rsidRDefault="00CF2072">
                  <w:pPr>
                    <w:pStyle w:val="NormalWeb"/>
                    <w:jc w:val="center"/>
                  </w:pPr>
                  <w:r>
                    <w:t> </w:t>
                  </w:r>
                </w:p>
                <w:p w:rsidR="00CF2072" w:rsidRDefault="00CF2072">
                  <w:pPr>
                    <w:pStyle w:val="NormalWeb"/>
                    <w:jc w:val="center"/>
                  </w:pPr>
                  <w:r>
                    <w:rPr>
                      <w:rStyle w:val="lev"/>
                    </w:rPr>
                    <w:t>Bravo à toute l’usine pour cette double récompense !</w:t>
                  </w:r>
                </w:p>
              </w:tc>
            </w:tr>
          </w:tbl>
          <w:p w:rsidR="00CF2072" w:rsidRDefault="00CF2072">
            <w:pPr>
              <w:rPr>
                <w:rFonts w:eastAsia="Times New Roman"/>
                <w:color w:val="auto"/>
                <w:sz w:val="20"/>
                <w:szCs w:val="20"/>
              </w:rPr>
            </w:pPr>
          </w:p>
        </w:tc>
        <w:tc>
          <w:tcPr>
            <w:tcW w:w="300" w:type="dxa"/>
            <w:shd w:val="clear" w:color="auto" w:fill="FFFFFF"/>
            <w:vAlign w:val="center"/>
            <w:hideMark/>
          </w:tcPr>
          <w:p w:rsidR="00CF2072" w:rsidRDefault="00CF2072">
            <w:pPr>
              <w:spacing w:line="270" w:lineRule="atLeast"/>
              <w:rPr>
                <w:rFonts w:ascii="Verdana" w:hAnsi="Verdana"/>
                <w:color w:val="333333"/>
                <w:sz w:val="20"/>
                <w:szCs w:val="20"/>
              </w:rPr>
            </w:pPr>
            <w:r>
              <w:rPr>
                <w:rFonts w:ascii="Verdana" w:hAnsi="Verdana"/>
                <w:noProof/>
                <w:color w:val="333333"/>
                <w:sz w:val="20"/>
                <w:szCs w:val="20"/>
              </w:rPr>
              <w:lastRenderedPageBreak/>
              <w:drawing>
                <wp:inline distT="0" distB="0" distL="0" distR="0">
                  <wp:extent cx="189865" cy="100330"/>
                  <wp:effectExtent l="0" t="0" r="0" b="0"/>
                  <wp:docPr id="1" name="Image 1" descr="cid:image001.png@01CEFBF6.09F9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EFBF6.09F990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9865" cy="100330"/>
                          </a:xfrm>
                          <a:prstGeom prst="rect">
                            <a:avLst/>
                          </a:prstGeom>
                          <a:noFill/>
                          <a:ln>
                            <a:noFill/>
                          </a:ln>
                        </pic:spPr>
                      </pic:pic>
                    </a:graphicData>
                  </a:graphic>
                </wp:inline>
              </w:drawing>
            </w:r>
          </w:p>
        </w:tc>
      </w:tr>
    </w:tbl>
    <w:p w:rsidR="00004A26" w:rsidRDefault="00004A26"/>
    <w:sectPr w:rsidR="00004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72"/>
    <w:rsid w:val="00004A26"/>
    <w:rsid w:val="00CF2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72"/>
    <w:pPr>
      <w:spacing w:after="0" w:line="240" w:lineRule="auto"/>
    </w:pPr>
    <w:rPr>
      <w:rFonts w:ascii="Times New Roman" w:hAnsi="Times New Roman" w:cs="Times New Roman"/>
      <w:color w:val="000000"/>
      <w:sz w:val="24"/>
      <w:szCs w:val="24"/>
      <w:lang w:eastAsia="fr-FR"/>
    </w:rPr>
  </w:style>
  <w:style w:type="paragraph" w:styleId="Titre1">
    <w:name w:val="heading 1"/>
    <w:basedOn w:val="Normal"/>
    <w:link w:val="Titre1Car"/>
    <w:uiPriority w:val="9"/>
    <w:qFormat/>
    <w:rsid w:val="00CF2072"/>
    <w:pPr>
      <w:spacing w:before="225" w:after="225" w:line="375" w:lineRule="atLeast"/>
      <w:outlineLvl w:val="0"/>
    </w:pPr>
    <w:rPr>
      <w:rFonts w:ascii="Verdana" w:hAnsi="Verdana"/>
      <w:b/>
      <w:bCs/>
      <w:kern w:val="36"/>
      <w:sz w:val="35"/>
      <w:szCs w:val="3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2072"/>
    <w:rPr>
      <w:rFonts w:ascii="Verdana" w:hAnsi="Verdana" w:cs="Times New Roman"/>
      <w:b/>
      <w:bCs/>
      <w:color w:val="000000"/>
      <w:kern w:val="36"/>
      <w:sz w:val="35"/>
      <w:szCs w:val="35"/>
      <w:lang w:eastAsia="fr-FR"/>
    </w:rPr>
  </w:style>
  <w:style w:type="paragraph" w:styleId="NormalWeb">
    <w:name w:val="Normal (Web)"/>
    <w:basedOn w:val="Normal"/>
    <w:uiPriority w:val="99"/>
    <w:unhideWhenUsed/>
    <w:rsid w:val="00CF2072"/>
    <w:pPr>
      <w:spacing w:line="270" w:lineRule="atLeast"/>
    </w:pPr>
    <w:rPr>
      <w:rFonts w:ascii="Verdana" w:hAnsi="Verdana"/>
      <w:color w:val="333333"/>
      <w:sz w:val="20"/>
      <w:szCs w:val="20"/>
    </w:rPr>
  </w:style>
  <w:style w:type="paragraph" w:customStyle="1" w:styleId="little">
    <w:name w:val="little"/>
    <w:basedOn w:val="Normal"/>
    <w:uiPriority w:val="99"/>
    <w:rsid w:val="00CF2072"/>
    <w:pPr>
      <w:spacing w:line="240" w:lineRule="atLeast"/>
    </w:pPr>
    <w:rPr>
      <w:rFonts w:ascii="Verdana" w:hAnsi="Verdana"/>
      <w:color w:val="333333"/>
      <w:sz w:val="15"/>
      <w:szCs w:val="15"/>
    </w:rPr>
  </w:style>
  <w:style w:type="character" w:customStyle="1" w:styleId="chapo1">
    <w:name w:val="chapo1"/>
    <w:basedOn w:val="Policepardfaut"/>
    <w:rsid w:val="00CF2072"/>
    <w:rPr>
      <w:rFonts w:ascii="Verdana" w:hAnsi="Verdana" w:hint="default"/>
      <w:b/>
      <w:bCs/>
      <w:color w:val="333333"/>
    </w:rPr>
  </w:style>
  <w:style w:type="character" w:styleId="lev">
    <w:name w:val="Strong"/>
    <w:basedOn w:val="Policepardfaut"/>
    <w:uiPriority w:val="22"/>
    <w:qFormat/>
    <w:rsid w:val="00CF2072"/>
    <w:rPr>
      <w:b/>
      <w:bCs/>
    </w:rPr>
  </w:style>
  <w:style w:type="paragraph" w:styleId="Textedebulles">
    <w:name w:val="Balloon Text"/>
    <w:basedOn w:val="Normal"/>
    <w:link w:val="TextedebullesCar"/>
    <w:uiPriority w:val="99"/>
    <w:semiHidden/>
    <w:unhideWhenUsed/>
    <w:rsid w:val="00CF2072"/>
    <w:rPr>
      <w:rFonts w:ascii="Tahoma" w:hAnsi="Tahoma" w:cs="Tahoma"/>
      <w:sz w:val="16"/>
      <w:szCs w:val="16"/>
    </w:rPr>
  </w:style>
  <w:style w:type="character" w:customStyle="1" w:styleId="TextedebullesCar">
    <w:name w:val="Texte de bulles Car"/>
    <w:basedOn w:val="Policepardfaut"/>
    <w:link w:val="Textedebulles"/>
    <w:uiPriority w:val="99"/>
    <w:semiHidden/>
    <w:rsid w:val="00CF2072"/>
    <w:rPr>
      <w:rFonts w:ascii="Tahoma" w:hAnsi="Tahoma" w:cs="Tahoma"/>
      <w:color w:val="000000"/>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72"/>
    <w:pPr>
      <w:spacing w:after="0" w:line="240" w:lineRule="auto"/>
    </w:pPr>
    <w:rPr>
      <w:rFonts w:ascii="Times New Roman" w:hAnsi="Times New Roman" w:cs="Times New Roman"/>
      <w:color w:val="000000"/>
      <w:sz w:val="24"/>
      <w:szCs w:val="24"/>
      <w:lang w:eastAsia="fr-FR"/>
    </w:rPr>
  </w:style>
  <w:style w:type="paragraph" w:styleId="Titre1">
    <w:name w:val="heading 1"/>
    <w:basedOn w:val="Normal"/>
    <w:link w:val="Titre1Car"/>
    <w:uiPriority w:val="9"/>
    <w:qFormat/>
    <w:rsid w:val="00CF2072"/>
    <w:pPr>
      <w:spacing w:before="225" w:after="225" w:line="375" w:lineRule="atLeast"/>
      <w:outlineLvl w:val="0"/>
    </w:pPr>
    <w:rPr>
      <w:rFonts w:ascii="Verdana" w:hAnsi="Verdana"/>
      <w:b/>
      <w:bCs/>
      <w:kern w:val="36"/>
      <w:sz w:val="35"/>
      <w:szCs w:val="3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2072"/>
    <w:rPr>
      <w:rFonts w:ascii="Verdana" w:hAnsi="Verdana" w:cs="Times New Roman"/>
      <w:b/>
      <w:bCs/>
      <w:color w:val="000000"/>
      <w:kern w:val="36"/>
      <w:sz w:val="35"/>
      <w:szCs w:val="35"/>
      <w:lang w:eastAsia="fr-FR"/>
    </w:rPr>
  </w:style>
  <w:style w:type="paragraph" w:styleId="NormalWeb">
    <w:name w:val="Normal (Web)"/>
    <w:basedOn w:val="Normal"/>
    <w:uiPriority w:val="99"/>
    <w:unhideWhenUsed/>
    <w:rsid w:val="00CF2072"/>
    <w:pPr>
      <w:spacing w:line="270" w:lineRule="atLeast"/>
    </w:pPr>
    <w:rPr>
      <w:rFonts w:ascii="Verdana" w:hAnsi="Verdana"/>
      <w:color w:val="333333"/>
      <w:sz w:val="20"/>
      <w:szCs w:val="20"/>
    </w:rPr>
  </w:style>
  <w:style w:type="paragraph" w:customStyle="1" w:styleId="little">
    <w:name w:val="little"/>
    <w:basedOn w:val="Normal"/>
    <w:uiPriority w:val="99"/>
    <w:rsid w:val="00CF2072"/>
    <w:pPr>
      <w:spacing w:line="240" w:lineRule="atLeast"/>
    </w:pPr>
    <w:rPr>
      <w:rFonts w:ascii="Verdana" w:hAnsi="Verdana"/>
      <w:color w:val="333333"/>
      <w:sz w:val="15"/>
      <w:szCs w:val="15"/>
    </w:rPr>
  </w:style>
  <w:style w:type="character" w:customStyle="1" w:styleId="chapo1">
    <w:name w:val="chapo1"/>
    <w:basedOn w:val="Policepardfaut"/>
    <w:rsid w:val="00CF2072"/>
    <w:rPr>
      <w:rFonts w:ascii="Verdana" w:hAnsi="Verdana" w:hint="default"/>
      <w:b/>
      <w:bCs/>
      <w:color w:val="333333"/>
    </w:rPr>
  </w:style>
  <w:style w:type="character" w:styleId="lev">
    <w:name w:val="Strong"/>
    <w:basedOn w:val="Policepardfaut"/>
    <w:uiPriority w:val="22"/>
    <w:qFormat/>
    <w:rsid w:val="00CF2072"/>
    <w:rPr>
      <w:b/>
      <w:bCs/>
    </w:rPr>
  </w:style>
  <w:style w:type="paragraph" w:styleId="Textedebulles">
    <w:name w:val="Balloon Text"/>
    <w:basedOn w:val="Normal"/>
    <w:link w:val="TextedebullesCar"/>
    <w:uiPriority w:val="99"/>
    <w:semiHidden/>
    <w:unhideWhenUsed/>
    <w:rsid w:val="00CF2072"/>
    <w:rPr>
      <w:rFonts w:ascii="Tahoma" w:hAnsi="Tahoma" w:cs="Tahoma"/>
      <w:sz w:val="16"/>
      <w:szCs w:val="16"/>
    </w:rPr>
  </w:style>
  <w:style w:type="character" w:customStyle="1" w:styleId="TextedebullesCar">
    <w:name w:val="Texte de bulles Car"/>
    <w:basedOn w:val="Policepardfaut"/>
    <w:link w:val="Textedebulles"/>
    <w:uiPriority w:val="99"/>
    <w:semiHidden/>
    <w:rsid w:val="00CF2072"/>
    <w:rPr>
      <w:rFonts w:ascii="Tahoma"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FBF6.09F990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cid:part4.00070208.04060907@agencerealvis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part1.07090804.04030300@agencerealvision.com" TargetMode="External"/><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image" Target="cid:part3.00090701.05080500@agencerealvision.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1952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Galinetti</dc:creator>
  <cp:lastModifiedBy>Muriel Galinetti</cp:lastModifiedBy>
  <cp:revision>1</cp:revision>
  <dcterms:created xsi:type="dcterms:W3CDTF">2014-01-17T17:02:00Z</dcterms:created>
  <dcterms:modified xsi:type="dcterms:W3CDTF">2014-01-17T17:03:00Z</dcterms:modified>
</cp:coreProperties>
</file>